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B40A9" w14:textId="77777777" w:rsidR="00D363FE" w:rsidRDefault="00D363FE" w:rsidP="00C54819"/>
    <w:p w14:paraId="7215980F" w14:textId="77777777" w:rsidR="00D363FE" w:rsidRDefault="00D363FE" w:rsidP="00C54819"/>
    <w:p w14:paraId="289361E0" w14:textId="73979876" w:rsidR="00D363FE" w:rsidRDefault="00D363FE" w:rsidP="00D363FE">
      <w:pPr>
        <w:jc w:val="center"/>
        <w:rPr>
          <w:rFonts w:ascii="Arial" w:hAnsi="Arial" w:cs="Arial"/>
          <w:b/>
          <w:spacing w:val="-8"/>
          <w:sz w:val="22"/>
        </w:rPr>
      </w:pPr>
      <w:r w:rsidRPr="0023378B">
        <w:rPr>
          <w:rFonts w:ascii="Arial" w:hAnsi="Arial" w:cs="Arial"/>
          <w:b/>
          <w:spacing w:val="-1"/>
          <w:sz w:val="22"/>
        </w:rPr>
        <w:t>POLITICA</w:t>
      </w:r>
      <w:r w:rsidRPr="0023378B">
        <w:rPr>
          <w:rFonts w:ascii="Arial" w:hAnsi="Arial" w:cs="Arial"/>
          <w:b/>
          <w:spacing w:val="-8"/>
          <w:sz w:val="22"/>
        </w:rPr>
        <w:t xml:space="preserve"> </w:t>
      </w:r>
      <w:r>
        <w:rPr>
          <w:rFonts w:ascii="Arial" w:hAnsi="Arial" w:cs="Arial"/>
          <w:b/>
          <w:spacing w:val="-8"/>
          <w:sz w:val="22"/>
        </w:rPr>
        <w:t>PARITA’ DI GENERE</w:t>
      </w:r>
    </w:p>
    <w:p w14:paraId="19C0CD26" w14:textId="148ADC09" w:rsidR="00D363FE" w:rsidRDefault="00D363FE" w:rsidP="00D363FE">
      <w:pPr>
        <w:jc w:val="center"/>
        <w:rPr>
          <w:rFonts w:ascii="Arial" w:hAnsi="Arial" w:cs="Arial"/>
          <w:b/>
          <w:spacing w:val="-8"/>
          <w:sz w:val="22"/>
        </w:rPr>
      </w:pPr>
    </w:p>
    <w:p w14:paraId="2E2805B6" w14:textId="77777777" w:rsidR="00D363FE" w:rsidRDefault="00D363FE" w:rsidP="00D363FE">
      <w:pPr>
        <w:jc w:val="center"/>
      </w:pPr>
    </w:p>
    <w:p w14:paraId="70F99883" w14:textId="6EE3F041" w:rsidR="00D363FE" w:rsidRDefault="00D37429" w:rsidP="00D363FE">
      <w:pPr>
        <w:pStyle w:val="Default"/>
        <w:contextualSpacing/>
        <w:jc w:val="both"/>
        <w:rPr>
          <w:rFonts w:ascii="Tw Cen MT" w:hAnsi="Tw Cen MT"/>
        </w:rPr>
      </w:pPr>
      <w:r>
        <w:rPr>
          <w:rFonts w:ascii="Tw Cen MT" w:hAnsi="Tw Cen MT"/>
        </w:rPr>
        <w:t>L’Azienda</w:t>
      </w:r>
      <w:r w:rsidR="003F1E49">
        <w:rPr>
          <w:rFonts w:ascii="Tw Cen MT" w:hAnsi="Tw Cen MT"/>
        </w:rPr>
        <w:t xml:space="preserve"> </w:t>
      </w:r>
      <w:r w:rsidR="00D363FE" w:rsidRPr="00A3770A">
        <w:rPr>
          <w:rFonts w:ascii="Tw Cen MT" w:hAnsi="Tw Cen MT"/>
        </w:rPr>
        <w:t>nell’ambito delle proprie attività di</w:t>
      </w:r>
      <w:r w:rsidR="00D363FE">
        <w:rPr>
          <w:rFonts w:ascii="Tw Cen MT" w:hAnsi="Tw Cen MT"/>
        </w:rPr>
        <w:t>:</w:t>
      </w:r>
    </w:p>
    <w:p w14:paraId="4C2C64C2" w14:textId="5E2240EA" w:rsidR="00D363FE" w:rsidRDefault="00D363FE" w:rsidP="00D363FE">
      <w:pPr>
        <w:pStyle w:val="Default"/>
        <w:contextualSpacing/>
        <w:jc w:val="both"/>
        <w:rPr>
          <w:rFonts w:ascii="Tw Cen MT" w:hAnsi="Tw Cen MT"/>
        </w:rPr>
      </w:pPr>
    </w:p>
    <w:p w14:paraId="63213410" w14:textId="77777777" w:rsidR="00D363FE" w:rsidRDefault="00D363FE" w:rsidP="00D363FE">
      <w:pPr>
        <w:pStyle w:val="Default"/>
        <w:contextualSpacing/>
        <w:jc w:val="both"/>
        <w:rPr>
          <w:rFonts w:ascii="Tw Cen MT" w:eastAsiaTheme="minorEastAsia" w:hAnsi="Tw Cen MT" w:cstheme="minorBidi"/>
          <w:bCs/>
          <w:color w:val="auto"/>
          <w:sz w:val="22"/>
          <w:szCs w:val="22"/>
        </w:rPr>
      </w:pPr>
    </w:p>
    <w:tbl>
      <w:tblPr>
        <w:tblStyle w:val="Grigliatabel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6885"/>
      </w:tblGrid>
      <w:tr w:rsidR="00D363FE" w:rsidRPr="0019116D" w14:paraId="37EBD73F" w14:textId="77777777" w:rsidTr="0055230F">
        <w:trPr>
          <w:trHeight w:val="1191"/>
        </w:trPr>
        <w:tc>
          <w:tcPr>
            <w:tcW w:w="1428" w:type="pct"/>
            <w:vAlign w:val="center"/>
          </w:tcPr>
          <w:p w14:paraId="7029916C" w14:textId="77777777" w:rsidR="00D363FE" w:rsidRPr="00AE373C" w:rsidRDefault="00D363FE" w:rsidP="0055230F">
            <w:pPr>
              <w:pStyle w:val="Corpotesto"/>
              <w:tabs>
                <w:tab w:val="left" w:pos="440"/>
              </w:tabs>
              <w:kinsoku w:val="0"/>
              <w:overflowPunct w:val="0"/>
              <w:autoSpaceDE w:val="0"/>
              <w:autoSpaceDN w:val="0"/>
              <w:adjustRightInd w:val="0"/>
              <w:spacing w:line="310" w:lineRule="auto"/>
              <w:ind w:left="304" w:right="262"/>
              <w:rPr>
                <w:rFonts w:ascii="Arial" w:hAnsi="Arial" w:cs="Arial"/>
                <w:b/>
                <w:bCs/>
                <w:color w:val="202124"/>
                <w:sz w:val="20"/>
                <w:szCs w:val="20"/>
                <w:shd w:val="clear" w:color="auto" w:fill="FFFFFF"/>
                <w:lang w:val="it-IT"/>
              </w:rPr>
            </w:pPr>
            <w:r w:rsidRPr="00AE373C">
              <w:rPr>
                <w:rFonts w:ascii="Arial" w:hAnsi="Arial" w:cs="Arial"/>
                <w:b/>
                <w:bCs/>
                <w:noProof/>
                <w:color w:val="202124"/>
                <w:sz w:val="20"/>
                <w:szCs w:val="20"/>
                <w:shd w:val="clear" w:color="auto" w:fill="FFFFFF"/>
                <w:lang w:val="it-IT"/>
              </w:rPr>
              <mc:AlternateContent>
                <mc:Choice Requires="wps">
                  <w:drawing>
                    <wp:anchor distT="0" distB="0" distL="114300" distR="114300" simplePos="0" relativeHeight="251659264" behindDoc="0" locked="0" layoutInCell="1" allowOverlap="1" wp14:anchorId="6DAD6AE5" wp14:editId="30EAB952">
                      <wp:simplePos x="0" y="0"/>
                      <wp:positionH relativeFrom="column">
                        <wp:posOffset>419735</wp:posOffset>
                      </wp:positionH>
                      <wp:positionV relativeFrom="paragraph">
                        <wp:posOffset>335280</wp:posOffset>
                      </wp:positionV>
                      <wp:extent cx="741680" cy="353060"/>
                      <wp:effectExtent l="57150" t="57150" r="39370" b="104140"/>
                      <wp:wrapNone/>
                      <wp:docPr id="12" name="Freccia destra rientrata 12"/>
                      <wp:cNvGraphicFramePr/>
                      <a:graphic xmlns:a="http://schemas.openxmlformats.org/drawingml/2006/main">
                        <a:graphicData uri="http://schemas.microsoft.com/office/word/2010/wordprocessingShape">
                          <wps:wsp>
                            <wps:cNvSpPr/>
                            <wps:spPr>
                              <a:xfrm>
                                <a:off x="0" y="0"/>
                                <a:ext cx="741680" cy="353060"/>
                              </a:xfrm>
                              <a:prstGeom prst="notchedRightArrow">
                                <a:avLst>
                                  <a:gd name="adj1" fmla="val 40227"/>
                                  <a:gd name="adj2" fmla="val 74433"/>
                                </a:avLst>
                              </a:prstGeom>
                              <a:solidFill>
                                <a:srgbClr val="70AD47"/>
                              </a:solidFill>
                              <a:ln w="12700" cap="flat" cmpd="sng" algn="ctr">
                                <a:noFill/>
                                <a:prstDash val="solid"/>
                                <a:miter lim="800000"/>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49EFAB07"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Freccia destra rientrata 12" o:spid="_x0000_s1026" type="#_x0000_t94" style="position:absolute;margin-left:33.05pt;margin-top:26.4pt;width:58.4pt;height: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vsQQMAALoGAAAOAAAAZHJzL2Uyb0RvYy54bWysVV1v2jAUfZ+0/2DlfU2AUCgqnVArpknV&#10;Vq2d9mwch3hybO/aELpfv2MnFPYhTZrGQ3JvfH3vOfeL67eHVrO9JK+sWWajiyJj0ghbKbNdZp+f&#10;1m/mGfOBm4pra+Qye5Y+e3vz+tV15xZybBurK0kMToxfdG6ZNSG4RZ570ciW+wvrpMFhbanlASpt&#10;84p4B++tzsdFcZl3lipHVkjv8fWuP8xukv+6liJ8rGsvA9PLDNhCelJ6buIzv7nmiy1x1ygxwOD/&#10;gKLlyiDoi6s7HjjbkfrNVasEWW/rcCFsm9u6VkImDmAzKn5h89hwJxMXJMe7lzT5/+dWfNg/EFMV&#10;ajfOmOEtarQmKYTirJI+EGekpMEbhGCCfHXOL3Dt0T3QoHmIkfyhpja+QYsdUo6fX3IsD4EJfJyV&#10;o8s5KiFwNJlOistUg/x02ZEP76RtWRSWmbEBvVB9UtsmrIhsl9LM9/c+pHxXA2hefR1lrG41yrfn&#10;mpXFeDwbyntmA5Inm1lZTibRBuEHj5COAKJ7b7Wq1krrpNB2c6uJwT14FKu7MgXAlZ/MtGFdTOes&#10;iDQ5mrrWPEBsHdLszTZjXG8xLSJQImNsjJA6Mca+477pYyS3PYdWBcyJVu0ymxfxN8DWJiKTqdOH&#10;lNgdTB+bqmMbvaNPHEHLspwCTKViRsezqzIpGINp2Tv7BZE/Z5osij7t2jW8xzbB9B1BDOYpjy/R&#10;k/YTMC+kkZMqAhZoNLRWX2JLobHDDK7JmpBikcXQcuAFVuyO9Ca5HxoKSe99RG86Ngc6BK2KrbPh&#10;mhshq8gXFP/ibY4ynZgcPSXwZ3i963Fv5F7qp1Tfq2IaC9ygjeejUyqSYR5npJ+KKG1s9YwpA6PE&#10;wjuxVij0PffhgRMaFn6wQ8NHPGpt0T12kODf0vc/fY/2WAM4zViH/YXO+rbjJJGs9wYL4mpUxiqH&#10;pJTT2RgKnZ9szk/Mrr216GqMENAlMdoHfRRrsu0XrNpVjIojZBix+x4elNsAHUdY1kKuVknGknM8&#10;3JtHJ6LzWKxY86fDF05uKH/Aavhgj7tumMR+KE+28aaxq12wtQrx8JTXQcGCTFUbGilu4HM9WZ3+&#10;cm5+AAAA//8DAFBLAwQUAAYACAAAACEAaZ1QhOAAAAAJAQAADwAAAGRycy9kb3ducmV2LnhtbEyP&#10;wU7DMBBE70j8g7VIXKrWaQpRCHGqAqrEoRKihfs2XpKI2A622wa+nu0Jbjua0eybcjmaXhzJh85Z&#10;BfNZAoJs7XRnGwVvu/U0BxEiWo29s6TgmwIsq8uLEgvtTvaVjtvYCC6xoUAFbYxDIWWoWzIYZm4g&#10;y96H8wYjS99I7fHE5aaXaZJk0mBn+UOLAz22VH9uD0bB5EkuFtnXM65fRr/6mby7dPPglLq+Glf3&#10;ICKN8S8MZ3xGh4qZ9u5gdRC9giybc1LBbcoLzn6e3oHY85HkNyCrUv5fUP0CAAD//wMAUEsBAi0A&#10;FAAGAAgAAAAhALaDOJL+AAAA4QEAABMAAAAAAAAAAAAAAAAAAAAAAFtDb250ZW50X1R5cGVzXS54&#10;bWxQSwECLQAUAAYACAAAACEAOP0h/9YAAACUAQAACwAAAAAAAAAAAAAAAAAvAQAAX3JlbHMvLnJl&#10;bHNQSwECLQAUAAYACAAAACEAFK6L7EEDAAC6BgAADgAAAAAAAAAAAAAAAAAuAgAAZHJzL2Uyb0Rv&#10;Yy54bWxQSwECLQAUAAYACAAAACEAaZ1QhOAAAAAJAQAADwAAAAAAAAAAAAAAAACbBQAAZHJzL2Rv&#10;d25yZXYueG1sUEsFBgAAAAAEAAQA8wAAAKgGAAAAAA==&#10;" adj="13947,6455" fillcolor="#70ad47" stroked="f" strokeweight="1pt">
                      <v:shadow on="t" color="black" opacity="20971f" offset="0,2.2pt"/>
                    </v:shape>
                  </w:pict>
                </mc:Fallback>
              </mc:AlternateContent>
            </w:r>
            <w:r w:rsidRPr="00AE373C">
              <w:rPr>
                <w:rFonts w:ascii="Arial" w:hAnsi="Arial" w:cs="Arial"/>
                <w:b/>
                <w:bCs/>
                <w:color w:val="202124"/>
                <w:sz w:val="20"/>
                <w:szCs w:val="20"/>
                <w:shd w:val="clear" w:color="auto" w:fill="FFFFFF"/>
                <w:lang w:val="it-IT"/>
              </w:rPr>
              <w:t>CAMPO DI APPLICAZIONE</w:t>
            </w:r>
            <w:r>
              <w:rPr>
                <w:rFonts w:ascii="Arial" w:hAnsi="Arial" w:cs="Arial"/>
                <w:b/>
                <w:bCs/>
                <w:color w:val="202124"/>
                <w:sz w:val="20"/>
                <w:szCs w:val="20"/>
                <w:shd w:val="clear" w:color="auto" w:fill="FFFFFF"/>
                <w:lang w:val="it-IT"/>
              </w:rPr>
              <w:t xml:space="preserve">                         </w:t>
            </w:r>
          </w:p>
        </w:tc>
        <w:tc>
          <w:tcPr>
            <w:tcW w:w="3572" w:type="pct"/>
            <w:vAlign w:val="center"/>
          </w:tcPr>
          <w:p w14:paraId="05BCD2B3" w14:textId="79DA6C73" w:rsidR="00EC22E3" w:rsidRPr="00EC22E3" w:rsidRDefault="00324C93" w:rsidP="0055230F">
            <w:pPr>
              <w:pStyle w:val="Corpotesto"/>
              <w:tabs>
                <w:tab w:val="left" w:pos="440"/>
              </w:tabs>
              <w:kinsoku w:val="0"/>
              <w:overflowPunct w:val="0"/>
              <w:autoSpaceDE w:val="0"/>
              <w:autoSpaceDN w:val="0"/>
              <w:adjustRightInd w:val="0"/>
              <w:spacing w:line="310" w:lineRule="auto"/>
              <w:ind w:left="304" w:right="262"/>
              <w:jc w:val="both"/>
              <w:rPr>
                <w:rFonts w:ascii="Arial" w:hAnsi="Arial" w:cs="Arial"/>
                <w:b/>
                <w:bCs/>
                <w:color w:val="202124"/>
                <w:sz w:val="20"/>
                <w:szCs w:val="20"/>
                <w:shd w:val="clear" w:color="auto" w:fill="FFFFFF"/>
                <w:lang w:val="it-IT"/>
              </w:rPr>
            </w:pPr>
            <w:r w:rsidRPr="00324C93">
              <w:rPr>
                <w:lang w:val="it-IT"/>
              </w:rPr>
              <w:t>Misure per garantire la parità di genere nel contesto lavorativo per: Manutenzione di edifici civili.</w:t>
            </w:r>
            <w:r w:rsidRPr="00EC22E3">
              <w:rPr>
                <w:rFonts w:ascii="Arial" w:hAnsi="Arial" w:cs="Arial"/>
                <w:b/>
                <w:bCs/>
                <w:color w:val="202124"/>
                <w:sz w:val="20"/>
                <w:szCs w:val="20"/>
                <w:shd w:val="clear" w:color="auto" w:fill="FFFFFF"/>
                <w:lang w:val="it-IT"/>
              </w:rPr>
              <w:t xml:space="preserve"> </w:t>
            </w:r>
          </w:p>
        </w:tc>
      </w:tr>
    </w:tbl>
    <w:p w14:paraId="63B2F67F" w14:textId="77777777" w:rsidR="00D363FE" w:rsidRDefault="00D363FE" w:rsidP="00C54819"/>
    <w:p w14:paraId="22680A55" w14:textId="412AEE95" w:rsidR="00D363FE" w:rsidRDefault="00A04BAD" w:rsidP="00C54819">
      <w:proofErr w:type="spellStart"/>
      <w:r w:rsidRPr="00A04BAD">
        <w:t>Mod</w:t>
      </w:r>
      <w:proofErr w:type="spellEnd"/>
      <w:r w:rsidRPr="00A04BAD">
        <w:t>. 5.7 a -</w:t>
      </w:r>
      <w:r w:rsidRPr="00A04BAD">
        <w:t>politica per la prevenzione degli abusi e delle molestie</w:t>
      </w:r>
    </w:p>
    <w:p w14:paraId="03299D50" w14:textId="77777777" w:rsidR="00D363FE" w:rsidRDefault="00D363FE" w:rsidP="00C54819"/>
    <w:p w14:paraId="20B1DD20" w14:textId="71E0C187" w:rsidR="00AB608E" w:rsidRDefault="00825984" w:rsidP="00C54819">
      <w:r>
        <w:t xml:space="preserve">ha definito politiche </w:t>
      </w:r>
      <w:r w:rsidR="00AB608E">
        <w:t>sulle tematiche di</w:t>
      </w:r>
      <w:r>
        <w:t xml:space="preserve"> parità di genere per garantire un’ambiente di lavoro che sia inclusivo nei confronti di chiunque, </w:t>
      </w:r>
      <w:r w:rsidR="00AB608E">
        <w:t xml:space="preserve">la direzione ha definito il suo impegno nelle tematiche di parità di genere attraverso un </w:t>
      </w:r>
      <w:r w:rsidR="00AB608E" w:rsidRPr="009D41D3">
        <w:rPr>
          <w:b/>
          <w:bCs/>
        </w:rPr>
        <w:t>comitato interno</w:t>
      </w:r>
      <w:r w:rsidR="00AB608E">
        <w:t xml:space="preserve"> che vigila sugli impegni del presente documento e sul raggiungimento degli obiettivi definiti nel piano strategico.</w:t>
      </w:r>
    </w:p>
    <w:p w14:paraId="67C65A18" w14:textId="3F7B3BA3" w:rsidR="00C16C30" w:rsidRDefault="00C16C30" w:rsidP="00C54819"/>
    <w:p w14:paraId="1BE789D1" w14:textId="775010FB" w:rsidR="00825984" w:rsidRDefault="00AB608E" w:rsidP="00C54819">
      <w:r>
        <w:t>I</w:t>
      </w:r>
      <w:r w:rsidR="00825984">
        <w:t>l presente documento è revisionato annualmente in fase di riesame della direzione alla presenza del comitato di parità di genere.</w:t>
      </w:r>
    </w:p>
    <w:p w14:paraId="55A86EBC" w14:textId="77777777" w:rsidR="008A6ADC" w:rsidRDefault="008A6ADC" w:rsidP="00C54819"/>
    <w:p w14:paraId="1293AED5" w14:textId="500E67B3" w:rsidR="00825984" w:rsidRDefault="00825984" w:rsidP="00C54819">
      <w:r>
        <w:t xml:space="preserve">Per garantire l’applicazione degli impegni definiti nel presente documento la direzione ha definito </w:t>
      </w:r>
      <w:r w:rsidRPr="009D41D3">
        <w:rPr>
          <w:b/>
          <w:bCs/>
        </w:rPr>
        <w:t>risorse economiche</w:t>
      </w:r>
      <w:r>
        <w:t xml:space="preserve"> affidat</w:t>
      </w:r>
      <w:r w:rsidR="00AB608E">
        <w:t>e</w:t>
      </w:r>
      <w:r>
        <w:t xml:space="preserve"> al comitato di parità di genere tali da garantire il raggiungimento degli obiettivi definiti.</w:t>
      </w:r>
    </w:p>
    <w:p w14:paraId="153A46E6" w14:textId="77777777" w:rsidR="00825984" w:rsidRDefault="00825984" w:rsidP="00C54819"/>
    <w:p w14:paraId="3B9AB1DD" w14:textId="1C9EDABD" w:rsidR="00C54819" w:rsidRDefault="00C54819" w:rsidP="00C54819">
      <w:r>
        <w:t xml:space="preserve">La nostra organizzazione tratta tutti i </w:t>
      </w:r>
      <w:r w:rsidR="006C667E">
        <w:t>suoi collaboratori, (definiamo collaboratori tutti i soggetti con cui intratteniamo un rapporto di lavoro di qualsiasi natura),</w:t>
      </w:r>
      <w:r>
        <w:t xml:space="preserve"> allo stesso modo, garantendo </w:t>
      </w:r>
      <w:r w:rsidRPr="009D41D3">
        <w:rPr>
          <w:b/>
          <w:bCs/>
        </w:rPr>
        <w:t>pari opportunità e condizioni</w:t>
      </w:r>
      <w:r>
        <w:t>.</w:t>
      </w:r>
    </w:p>
    <w:p w14:paraId="6F2C2B6F" w14:textId="77777777" w:rsidR="00C54819" w:rsidRDefault="00C54819" w:rsidP="00C54819"/>
    <w:p w14:paraId="1E89719D" w14:textId="3D3622CB" w:rsidR="00C54819" w:rsidRDefault="00C54819" w:rsidP="00C54819">
      <w:r>
        <w:t xml:space="preserve">La nostra organizzazione </w:t>
      </w:r>
      <w:r w:rsidR="006C667E">
        <w:t xml:space="preserve">ha stabilito linee guida per la </w:t>
      </w:r>
      <w:r w:rsidR="006C667E" w:rsidRPr="009D41D3">
        <w:rPr>
          <w:b/>
          <w:bCs/>
        </w:rPr>
        <w:t>parità di genere</w:t>
      </w:r>
      <w:r w:rsidR="006C667E">
        <w:t xml:space="preserve"> </w:t>
      </w:r>
      <w:r>
        <w:t>relativamente ad assunzione, salario, retribuzione, formazione, promozione, licenziamento, pensionamento</w:t>
      </w:r>
      <w:r w:rsidR="006C667E">
        <w:t xml:space="preserve"> e</w:t>
      </w:r>
      <w:r>
        <w:t xml:space="preserve"> non attua o sostiene azioni discriminanti per motivi di razza, di casta, di nazionalità, d'origine, di religione, di handicap, di sesso, di orientamento sessuale, di appartenenza ad associazioni e sindacati, di orientamenti politici, di età.</w:t>
      </w:r>
    </w:p>
    <w:p w14:paraId="02A501EA" w14:textId="77777777" w:rsidR="00C54819" w:rsidRDefault="00C54819" w:rsidP="00C54819"/>
    <w:p w14:paraId="0532DE00" w14:textId="26353614" w:rsidR="00C54819" w:rsidRDefault="00C54819" w:rsidP="00C54819">
      <w:r>
        <w:t xml:space="preserve">La nostra organizzazione </w:t>
      </w:r>
      <w:r w:rsidR="00330BA5">
        <w:t>ha stabilito linee guida</w:t>
      </w:r>
      <w:r w:rsidR="00790F30">
        <w:t xml:space="preserve"> in termini di parità di genere</w:t>
      </w:r>
      <w:r w:rsidR="00330BA5">
        <w:t xml:space="preserve"> per</w:t>
      </w:r>
      <w:r>
        <w:t xml:space="preserve"> tutto il personale</w:t>
      </w:r>
      <w:r w:rsidR="00790F30">
        <w:t>,</w:t>
      </w:r>
      <w:r>
        <w:t xml:space="preserve"> </w:t>
      </w:r>
      <w:r w:rsidR="00790F30">
        <w:t xml:space="preserve">con </w:t>
      </w:r>
      <w:r>
        <w:t xml:space="preserve">modalità di crescita professionale ed un </w:t>
      </w:r>
      <w:r w:rsidRPr="009D41D3">
        <w:rPr>
          <w:b/>
          <w:bCs/>
        </w:rPr>
        <w:t>avanzamento di carriera</w:t>
      </w:r>
      <w:r>
        <w:t xml:space="preserve"> equo ed imparziale, sono garantiti ad ogni </w:t>
      </w:r>
      <w:r w:rsidR="00790F30">
        <w:t>dipendente</w:t>
      </w:r>
      <w:r>
        <w:t xml:space="preserve"> pari opportunità e diritti, ogni scelta è dettata da un principio di merito e/o professionalità.</w:t>
      </w:r>
    </w:p>
    <w:p w14:paraId="37329FD8" w14:textId="77777777" w:rsidR="00C54819" w:rsidRDefault="00C54819" w:rsidP="00C54819"/>
    <w:p w14:paraId="4787B1D2" w14:textId="29912049" w:rsidR="00C54819" w:rsidRDefault="00C54819" w:rsidP="00C54819">
      <w:r>
        <w:t xml:space="preserve">La nostra organizzazione </w:t>
      </w:r>
      <w:r w:rsidR="00790F30">
        <w:t>ha stabilito linee guida in termini di parità di genere per</w:t>
      </w:r>
      <w:r>
        <w:t xml:space="preserve"> </w:t>
      </w:r>
      <w:r w:rsidR="00790F30">
        <w:t xml:space="preserve">garantire </w:t>
      </w:r>
      <w:r w:rsidR="00790F30" w:rsidRPr="009D41D3">
        <w:rPr>
          <w:b/>
          <w:bCs/>
        </w:rPr>
        <w:t>un’equa formazione</w:t>
      </w:r>
      <w:r w:rsidR="00790F30">
        <w:t xml:space="preserve"> </w:t>
      </w:r>
      <w:r>
        <w:t>a</w:t>
      </w:r>
      <w:r w:rsidR="00790F30">
        <w:t xml:space="preserve"> tutto</w:t>
      </w:r>
      <w:r>
        <w:t xml:space="preserve"> suo personale, l</w:t>
      </w:r>
      <w:r w:rsidR="00790F30">
        <w:t>a</w:t>
      </w:r>
      <w:r>
        <w:t xml:space="preserve"> scelt</w:t>
      </w:r>
      <w:r w:rsidR="00790F30">
        <w:t>a di iscrivere o meno un dipendente ad un corso di formazione è</w:t>
      </w:r>
      <w:r>
        <w:t xml:space="preserve"> dettat</w:t>
      </w:r>
      <w:r w:rsidR="00790F30">
        <w:t>o</w:t>
      </w:r>
      <w:r>
        <w:t xml:space="preserve"> da criteri di merito o da corsi di aggiornamento professionale obbligatori dovuti a norme tecniche specifiche, modifiche a regolamenti cogenti, lasciando comunque ad ogni dipendente, che voglia iscriversi per accrescere il proprio bagaglio culturale la libertà di partecipare.</w:t>
      </w:r>
    </w:p>
    <w:p w14:paraId="3F9052FB" w14:textId="1ECC4572" w:rsidR="00F65C4A" w:rsidRDefault="00F65C4A" w:rsidP="00C54819"/>
    <w:p w14:paraId="5BE97022" w14:textId="3F3E8B01" w:rsidR="00F65C4A" w:rsidRPr="001045BF" w:rsidRDefault="001045BF" w:rsidP="001045BF">
      <w:pPr>
        <w:jc w:val="both"/>
        <w:rPr>
          <w:rFonts w:cs="Tahoma"/>
          <w:sz w:val="22"/>
        </w:rPr>
      </w:pPr>
      <w:r w:rsidRPr="001045BF">
        <w:t xml:space="preserve">La nostra organizzazione </w:t>
      </w:r>
      <w:r w:rsidR="00F65C4A" w:rsidRPr="001045BF">
        <w:rPr>
          <w:rFonts w:cs="Tahoma"/>
          <w:sz w:val="22"/>
        </w:rPr>
        <w:t>Contrasta ogni forma di discriminazione (di razza, casta, nazionalità, origine, religione, handicap, sesso, orientamento sessuale,</w:t>
      </w:r>
      <w:r w:rsidR="00472C59">
        <w:rPr>
          <w:rFonts w:cs="Tahoma"/>
          <w:sz w:val="22"/>
        </w:rPr>
        <w:t xml:space="preserve"> </w:t>
      </w:r>
      <w:r w:rsidR="00F65C4A" w:rsidRPr="001045BF">
        <w:rPr>
          <w:rFonts w:cs="Tahoma"/>
          <w:sz w:val="22"/>
        </w:rPr>
        <w:t>appartenenza ad associazioni e sindacati, di orientamenti politici, di età);</w:t>
      </w:r>
    </w:p>
    <w:p w14:paraId="68FA1799" w14:textId="3C8A1C4C" w:rsidR="00472C59" w:rsidRPr="00472C59" w:rsidRDefault="00472C59" w:rsidP="00472C59">
      <w:pPr>
        <w:pStyle w:val="Default"/>
        <w:rPr>
          <w:rFonts w:ascii="Calibri" w:hAnsi="Calibri" w:cs="Tahoma"/>
          <w:color w:val="auto"/>
          <w:sz w:val="22"/>
          <w:szCs w:val="22"/>
        </w:rPr>
      </w:pPr>
      <w:r w:rsidRPr="00472C59">
        <w:rPr>
          <w:rFonts w:ascii="Calibri" w:hAnsi="Calibri" w:cs="Tahoma"/>
          <w:color w:val="auto"/>
          <w:sz w:val="22"/>
          <w:szCs w:val="22"/>
        </w:rPr>
        <w:t>La nostra organizzazione vieta qualsiasi forma di ABUSO FISICO, VERBALE, DIGITALE (MOLESTIA) SUI LUOGHI DI LAVORO e svolge attività di prevenzione di ogni forma di abuso fisico, verbale, digitale (molestia) sui luoghi di lavoro. incluse le molestie sessuali (</w:t>
      </w:r>
      <w:proofErr w:type="spellStart"/>
      <w:r w:rsidRPr="00472C59">
        <w:rPr>
          <w:rFonts w:ascii="Calibri" w:hAnsi="Calibri" w:cs="Tahoma"/>
          <w:color w:val="auto"/>
          <w:sz w:val="22"/>
          <w:szCs w:val="22"/>
        </w:rPr>
        <w:t>sexual</w:t>
      </w:r>
      <w:proofErr w:type="spellEnd"/>
      <w:r w:rsidRPr="00472C59">
        <w:rPr>
          <w:rFonts w:ascii="Calibri" w:hAnsi="Calibri" w:cs="Tahoma"/>
          <w:color w:val="auto"/>
          <w:sz w:val="22"/>
          <w:szCs w:val="22"/>
        </w:rPr>
        <w:t xml:space="preserve"> </w:t>
      </w:r>
      <w:proofErr w:type="spellStart"/>
      <w:r w:rsidRPr="00472C59">
        <w:rPr>
          <w:rFonts w:ascii="Calibri" w:hAnsi="Calibri" w:cs="Tahoma"/>
          <w:color w:val="auto"/>
          <w:sz w:val="22"/>
          <w:szCs w:val="22"/>
        </w:rPr>
        <w:t>harassment</w:t>
      </w:r>
      <w:proofErr w:type="spellEnd"/>
      <w:r w:rsidRPr="00472C59">
        <w:rPr>
          <w:rFonts w:ascii="Calibri" w:hAnsi="Calibri" w:cs="Tahoma"/>
          <w:color w:val="auto"/>
          <w:sz w:val="22"/>
          <w:szCs w:val="22"/>
        </w:rPr>
        <w:t xml:space="preserve">) in ogni forma; </w:t>
      </w:r>
    </w:p>
    <w:p w14:paraId="5D683779" w14:textId="77777777" w:rsidR="00472C59" w:rsidRPr="00C16D6E" w:rsidRDefault="00472C59" w:rsidP="00472C59">
      <w:pPr>
        <w:pStyle w:val="Default"/>
        <w:rPr>
          <w:b/>
          <w:bCs/>
          <w:sz w:val="20"/>
          <w:szCs w:val="20"/>
        </w:rPr>
      </w:pPr>
    </w:p>
    <w:p w14:paraId="0451A168" w14:textId="77777777" w:rsidR="00C54819" w:rsidRPr="001045BF" w:rsidRDefault="00C54819" w:rsidP="00C54819"/>
    <w:p w14:paraId="502F702F" w14:textId="1854FB5F" w:rsidR="001045BF" w:rsidRDefault="00C54819" w:rsidP="001045BF">
      <w:r w:rsidRPr="001045BF">
        <w:t xml:space="preserve">La nostra organizzazione non permette </w:t>
      </w:r>
      <w:r w:rsidRPr="001045BF">
        <w:rPr>
          <w:b/>
          <w:bCs/>
        </w:rPr>
        <w:t>comportamenti</w:t>
      </w:r>
      <w:r w:rsidRPr="001045BF">
        <w:t>, inclusi gesti, linguaggio e/o contatto fisico,</w:t>
      </w:r>
      <w:r w:rsidR="00F65C4A" w:rsidRPr="001045BF">
        <w:t xml:space="preserve"> coercizione</w:t>
      </w:r>
      <w:r w:rsidR="001045BF" w:rsidRPr="001045BF">
        <w:t xml:space="preserve"> mentale</w:t>
      </w:r>
      <w:r w:rsidR="00F65C4A" w:rsidRPr="001045BF">
        <w:t xml:space="preserve">, </w:t>
      </w:r>
      <w:r w:rsidR="001045BF" w:rsidRPr="001045BF">
        <w:rPr>
          <w:rFonts w:cs="Tahoma"/>
          <w:sz w:val="22"/>
        </w:rPr>
        <w:t>fisica, sessuale, abusi verbali, minacciosi e offensivi o volti allo sfruttamento</w:t>
      </w:r>
      <w:r w:rsidR="001045BF" w:rsidRPr="00B512B8">
        <w:rPr>
          <w:rFonts w:cs="Tahoma"/>
          <w:sz w:val="22"/>
          <w:highlight w:val="lightGray"/>
        </w:rPr>
        <w:t xml:space="preserve">.  </w:t>
      </w:r>
    </w:p>
    <w:p w14:paraId="46EF8D58" w14:textId="77777777" w:rsidR="001045BF" w:rsidRDefault="001045BF" w:rsidP="001045BF"/>
    <w:p w14:paraId="75C187C6" w14:textId="77777777" w:rsidR="00C54819" w:rsidRDefault="00C54819" w:rsidP="00C54819"/>
    <w:p w14:paraId="226252FC" w14:textId="0F050560" w:rsidR="00C54819" w:rsidRDefault="00C54819" w:rsidP="00C54819">
      <w:r>
        <w:t xml:space="preserve">La nostra organizzazione ha definito strumenti di </w:t>
      </w:r>
      <w:r w:rsidRPr="009D41D3">
        <w:rPr>
          <w:b/>
          <w:bCs/>
        </w:rPr>
        <w:t xml:space="preserve">segnalazione </w:t>
      </w:r>
      <w:r>
        <w:t xml:space="preserve">per garantire ad ogni dipendente di esprimere la propria opinione anche in assoluto anonimato, di poter comunicare spunti di miglioramento, di poter effettuare segnalazioni </w:t>
      </w:r>
      <w:r w:rsidR="00790F30">
        <w:t>in termini di parità di genere</w:t>
      </w:r>
      <w:r>
        <w:t xml:space="preserve"> ed essere tutelato da eventuali ritorsioni.</w:t>
      </w:r>
    </w:p>
    <w:p w14:paraId="2414C959" w14:textId="5BDE9669" w:rsidR="00C54819" w:rsidRDefault="00C54819" w:rsidP="00C54819"/>
    <w:p w14:paraId="053D2E83" w14:textId="3700192C" w:rsidR="00C54819" w:rsidRDefault="00C54819" w:rsidP="00C54819">
      <w:r>
        <w:t xml:space="preserve">La nostra organizzazione informa e forma il personale per garantire la </w:t>
      </w:r>
      <w:r w:rsidRPr="009D41D3">
        <w:rPr>
          <w:b/>
          <w:bCs/>
        </w:rPr>
        <w:t>sensibilizzazione</w:t>
      </w:r>
      <w:r>
        <w:t xml:space="preserve"> sulle tematiche di parità di genere.</w:t>
      </w:r>
    </w:p>
    <w:p w14:paraId="5CECB707" w14:textId="77777777" w:rsidR="00C54819" w:rsidRDefault="00C54819" w:rsidP="00C54819"/>
    <w:p w14:paraId="53B33268" w14:textId="7F300356" w:rsidR="00C54819" w:rsidRDefault="00C54819" w:rsidP="00C54819">
      <w:r>
        <w:t xml:space="preserve">La nostra organizzazione garantisce che a seguito di reclami, </w:t>
      </w:r>
      <w:r w:rsidRPr="009D41D3">
        <w:rPr>
          <w:b/>
          <w:bCs/>
        </w:rPr>
        <w:t>segnalazioni esterne</w:t>
      </w:r>
      <w:r>
        <w:t xml:space="preserve"> e/o segnalazioni </w:t>
      </w:r>
      <w:r w:rsidR="00790F30">
        <w:t>in termini di parità di genere</w:t>
      </w:r>
      <w:r>
        <w:t xml:space="preserve"> vi siano controlli condotti da un comitato non coinvolto nel processo e che gli stessi abbiamo risorse e strumenti per poter svolgere investigazioni sul caso.</w:t>
      </w:r>
    </w:p>
    <w:p w14:paraId="43B041F1" w14:textId="77777777" w:rsidR="00C54819" w:rsidRDefault="00C54819" w:rsidP="00C54819"/>
    <w:p w14:paraId="49D8BE88" w14:textId="5A2C2BFF" w:rsidR="00877339" w:rsidRDefault="00790F30" w:rsidP="00C54819">
      <w:r>
        <w:t xml:space="preserve">La nostra organizzazione </w:t>
      </w:r>
      <w:r w:rsidR="00C54819">
        <w:t>si impegna a garantire pari opportunità al momento dell’</w:t>
      </w:r>
      <w:r w:rsidR="00C54819" w:rsidRPr="009D41D3">
        <w:rPr>
          <w:b/>
          <w:bCs/>
        </w:rPr>
        <w:t>assunzione</w:t>
      </w:r>
      <w:r w:rsidR="00C54819">
        <w:t xml:space="preserve"> e durante il percorso</w:t>
      </w:r>
      <w:r>
        <w:t xml:space="preserve"> </w:t>
      </w:r>
      <w:r w:rsidR="00C54819">
        <w:t xml:space="preserve">formativo e lavorativo di ogni singolo </w:t>
      </w:r>
      <w:r>
        <w:t>dipendente</w:t>
      </w:r>
      <w:r w:rsidR="00C54819">
        <w:t xml:space="preserve">, </w:t>
      </w:r>
      <w:r>
        <w:t xml:space="preserve">definendo </w:t>
      </w:r>
      <w:r w:rsidR="00C54819">
        <w:t>criteri che possano</w:t>
      </w:r>
      <w:r>
        <w:t xml:space="preserve"> non</w:t>
      </w:r>
      <w:r w:rsidR="00C54819">
        <w:t xml:space="preserve"> discriminare o ledere i</w:t>
      </w:r>
      <w:r w:rsidR="00563B1C">
        <w:t>n</w:t>
      </w:r>
      <w:r>
        <w:t xml:space="preserve"> b</w:t>
      </w:r>
      <w:r w:rsidR="00C54819">
        <w:t>ase al genere</w:t>
      </w:r>
      <w:r w:rsidR="00563B1C">
        <w:t xml:space="preserve"> e </w:t>
      </w:r>
      <w:r w:rsidR="00563B1C" w:rsidRPr="00563B1C">
        <w:t xml:space="preserve">favorire la conciliazione dei </w:t>
      </w:r>
      <w:r w:rsidR="00563B1C" w:rsidRPr="00563B1C">
        <w:rPr>
          <w:b/>
          <w:bCs/>
        </w:rPr>
        <w:t>tempi di vita personale e lavorativa</w:t>
      </w:r>
    </w:p>
    <w:p w14:paraId="57ADF4FA" w14:textId="253838B9" w:rsidR="00220388" w:rsidRDefault="00220388" w:rsidP="00C54819"/>
    <w:p w14:paraId="02735701" w14:textId="0D2554AF" w:rsidR="002459F3" w:rsidRDefault="002459F3" w:rsidP="002459F3">
      <w:r>
        <w:t xml:space="preserve">La nostra organizzazione si impegna a comunicare a tutte le parti interessate con qualsiasi mezzo il suo impegno nelle politiche di parità di genere en </w:t>
      </w:r>
      <w:r w:rsidRPr="009D41D3">
        <w:rPr>
          <w:b/>
          <w:bCs/>
        </w:rPr>
        <w:t>nell’empowerment femminile.</w:t>
      </w:r>
    </w:p>
    <w:p w14:paraId="28B9FEDE" w14:textId="77777777" w:rsidR="002459F3" w:rsidRDefault="002459F3" w:rsidP="00C54819"/>
    <w:p w14:paraId="5CEF16C6" w14:textId="6FA31430" w:rsidR="00636896" w:rsidRDefault="00636896" w:rsidP="00C54819">
      <w:bookmarkStart w:id="0" w:name="_Hlk126833127"/>
      <w:r>
        <w:t xml:space="preserve">La nostra organizzazione </w:t>
      </w:r>
      <w:bookmarkEnd w:id="0"/>
      <w:r>
        <w:t>si impegna a garantire a tutti i suoi dipendenti</w:t>
      </w:r>
      <w:r w:rsidR="00457375">
        <w:t xml:space="preserve">, QUALORA ci fossero dei </w:t>
      </w:r>
      <w:r w:rsidR="00457375" w:rsidRPr="009D41D3">
        <w:rPr>
          <w:b/>
          <w:bCs/>
        </w:rPr>
        <w:t>BENEFIT</w:t>
      </w:r>
      <w:r w:rsidRPr="009D41D3">
        <w:rPr>
          <w:b/>
          <w:bCs/>
        </w:rPr>
        <w:t xml:space="preserve"> </w:t>
      </w:r>
      <w:r>
        <w:t>il mantenimento de</w:t>
      </w:r>
      <w:r w:rsidR="00457375">
        <w:t xml:space="preserve">gli stessi </w:t>
      </w:r>
      <w:r>
        <w:t>definiti nel contratto di lavoro anche durante i periodi di congedo per maternità/paternità, si impegna a definire ed applicare modalità di lavoro flessibile per migliorare la conciliazione della vita lavoro.</w:t>
      </w:r>
    </w:p>
    <w:p w14:paraId="5E4A7843" w14:textId="69F481DF" w:rsidR="0078318D" w:rsidRDefault="0078318D" w:rsidP="00C54819"/>
    <w:p w14:paraId="5FA7947A" w14:textId="73A6E5D0" w:rsidR="0078318D" w:rsidRDefault="0078318D" w:rsidP="0078318D">
      <w:bookmarkStart w:id="1" w:name="_Hlk211416145"/>
      <w:r>
        <w:t>La nostra organizzazione</w:t>
      </w:r>
      <w:bookmarkEnd w:id="1"/>
      <w:r>
        <w:t xml:space="preserve"> garantisce che i generi siano equamente rappresentati tra i relatori del </w:t>
      </w:r>
      <w:r>
        <w:rPr>
          <w:b/>
          <w:bCs/>
        </w:rPr>
        <w:t>panel di tavole rotonde</w:t>
      </w:r>
      <w:r>
        <w:t>, eventi, convegni o altro evento anche di carattere scientifico</w:t>
      </w:r>
      <w:r w:rsidR="00EB59C4">
        <w:t>.</w:t>
      </w:r>
    </w:p>
    <w:p w14:paraId="40E13AB3" w14:textId="77777777" w:rsidR="00EB59C4" w:rsidRDefault="00EB59C4" w:rsidP="0078318D"/>
    <w:p w14:paraId="319579A6" w14:textId="0D3549DD" w:rsidR="00EB59C4" w:rsidRDefault="00EB59C4" w:rsidP="0078318D">
      <w:r>
        <w:t xml:space="preserve">La nostra organizzazione in riferimento alla </w:t>
      </w:r>
      <w:r w:rsidRPr="00EB59C4">
        <w:rPr>
          <w:b/>
          <w:bCs/>
        </w:rPr>
        <w:t>Mobilità Interna e Successione a Posizioni Manageriali</w:t>
      </w:r>
      <w:r>
        <w:t xml:space="preserve"> si impegna a:</w:t>
      </w:r>
    </w:p>
    <w:p w14:paraId="4E626650" w14:textId="77777777" w:rsidR="00EB59C4" w:rsidRDefault="00EB59C4" w:rsidP="0078318D"/>
    <w:p w14:paraId="51E59CC0" w14:textId="425B5BC2" w:rsidR="00EB59C4" w:rsidRPr="00EB59C4" w:rsidRDefault="00EB59C4" w:rsidP="00EB59C4">
      <w:r w:rsidRPr="00EB59C4">
        <w:t xml:space="preserve"> </w:t>
      </w:r>
      <w:r>
        <w:t>P</w:t>
      </w:r>
      <w:r w:rsidRPr="00EB59C4">
        <w:t>romuovere la crescita professionale delle risorse interne.</w:t>
      </w:r>
    </w:p>
    <w:p w14:paraId="70BB59AC" w14:textId="2195F780" w:rsidR="00EB59C4" w:rsidRPr="00EB59C4" w:rsidRDefault="00EB59C4" w:rsidP="00EB59C4">
      <w:r w:rsidRPr="00EB59C4">
        <w:t xml:space="preserve"> Assicurare pari opportunità di accesso a ruoli di responsabilità e sviluppo di carriera.</w:t>
      </w:r>
    </w:p>
    <w:p w14:paraId="5E6C1936" w14:textId="1144A0E0" w:rsidR="00EB59C4" w:rsidRPr="00EB59C4" w:rsidRDefault="00EB59C4" w:rsidP="00EB59C4">
      <w:r w:rsidRPr="00EB59C4">
        <w:t xml:space="preserve">  Favorire una cultura organizzativa inclusiva e meritocratica.</w:t>
      </w:r>
    </w:p>
    <w:p w14:paraId="74102506" w14:textId="736BE179" w:rsidR="00EB59C4" w:rsidRDefault="00EB59C4" w:rsidP="00EB59C4">
      <w:r w:rsidRPr="00EB59C4">
        <w:t xml:space="preserve">  Prevenire ogni forma di discriminazione nelle fasi di selezione e promozione interna.</w:t>
      </w:r>
    </w:p>
    <w:p w14:paraId="0CB5E708" w14:textId="77777777" w:rsidR="00EB59C4" w:rsidRPr="00EB59C4" w:rsidRDefault="00EB59C4" w:rsidP="00EB59C4"/>
    <w:p w14:paraId="1E483051" w14:textId="07FC80FE" w:rsidR="00EB59C4" w:rsidRDefault="00EB59C4" w:rsidP="0078318D">
      <w:r>
        <w:t>L’organizzazione adotta un piano strutturato per garantire la continuità nella leadership e lo sviluppo dei futuri leader, attraverso l'identificazione e la preparazione di talenti interni adottando i seguenti criteri di selezione:</w:t>
      </w:r>
    </w:p>
    <w:p w14:paraId="7CED3A74" w14:textId="77777777" w:rsidR="00EB59C4" w:rsidRDefault="00EB59C4" w:rsidP="0078318D"/>
    <w:p w14:paraId="2A6B47FC" w14:textId="62335717" w:rsidR="00EB59C4" w:rsidRPr="00EB59C4" w:rsidRDefault="00EB59C4" w:rsidP="00EB59C4">
      <w:r w:rsidRPr="00EB59C4">
        <w:t>Competenze manageriali e tecniche comprovate.</w:t>
      </w:r>
    </w:p>
    <w:p w14:paraId="70B55AAC" w14:textId="4A97EF56" w:rsidR="00EB59C4" w:rsidRPr="00EB59C4" w:rsidRDefault="00EB59C4" w:rsidP="00EB59C4">
      <w:r w:rsidRPr="00EB59C4">
        <w:t xml:space="preserve"> Leadership inclusiva e capacità di gestione del cambiamento.</w:t>
      </w:r>
    </w:p>
    <w:p w14:paraId="7864674D" w14:textId="4F97A75D" w:rsidR="00EB59C4" w:rsidRPr="00EB59C4" w:rsidRDefault="00EB59C4" w:rsidP="00EB59C4">
      <w:r w:rsidRPr="00EB59C4">
        <w:t>Valutazione delle performance, potenziale di crescita e soft skills.</w:t>
      </w:r>
    </w:p>
    <w:p w14:paraId="7E2EC503" w14:textId="77777777" w:rsidR="00EB59C4" w:rsidRDefault="00EB59C4" w:rsidP="0078318D"/>
    <w:p w14:paraId="32D75A1F" w14:textId="77777777" w:rsidR="00636896" w:rsidRDefault="00636896" w:rsidP="00C54819"/>
    <w:p w14:paraId="45564572" w14:textId="76F28D39" w:rsidR="00220388" w:rsidRDefault="00220388" w:rsidP="00C54819">
      <w:r>
        <w:t>Il comitato di parità di genere si impegna allo sviluppo e controllo di un piano strategico sui temi di parità di genere che definisca gli indicatori applicabili all’organizzazione, i punti di forza e debolezza gli obiettivi, le azioni per raggiungere la parità di genere e percorsi formativi in termini di parità di genere.</w:t>
      </w:r>
    </w:p>
    <w:p w14:paraId="5220B91E" w14:textId="4C6AA604" w:rsidR="00C16C30" w:rsidRDefault="00C16C30" w:rsidP="00C54819"/>
    <w:p w14:paraId="1CFFEFFD" w14:textId="7368B7CC" w:rsidR="00EC22E3" w:rsidRDefault="00EC22E3" w:rsidP="00EB1DD6">
      <w:r>
        <w:t xml:space="preserve">La nostra organizzazione al fine di assicurare sia ai dipendenti dell’azienda che agli stakeholder la possibilità di contribuire al miglioramento del Sistema di Gestione per la parità di genere, ogni lavoratore può sporgere reclami e segnalazioni in relazione a fatti e incidenti rispetto ai temi della parità di genere, violazione politiche di selezione e assunzione, reclami rispetto ai temi, analisi eventuali meccanismi di </w:t>
      </w:r>
      <w:proofErr w:type="spellStart"/>
      <w:r>
        <w:t>whistle-blowing</w:t>
      </w:r>
      <w:proofErr w:type="spellEnd"/>
      <w:r>
        <w:t xml:space="preserve">, incidenti o segnalazioni di violenze o sopraffazioni, KPI non in linea, verificatisi nell’ambito lavorativo o ad esso legati e in contrasto con i principi di della UNI PDR 125/2022; </w:t>
      </w:r>
      <w:r>
        <w:rPr>
          <w:rFonts w:ascii="Tw Cen MT" w:eastAsiaTheme="minorEastAsia" w:hAnsi="Tw Cen MT"/>
          <w:bCs/>
          <w:sz w:val="22"/>
        </w:rPr>
        <w:t xml:space="preserve">Per questo motivo l’organizzazione ha designato come referente specifico,  a cui poter rivolgersi, i componenti del </w:t>
      </w:r>
      <w:r>
        <w:rPr>
          <w:rFonts w:ascii="Tw Cen MT" w:eastAsiaTheme="minorEastAsia" w:hAnsi="Tw Cen MT"/>
          <w:b/>
          <w:sz w:val="22"/>
        </w:rPr>
        <w:t xml:space="preserve">Comitato Parità di Genere, </w:t>
      </w:r>
      <w:r>
        <w:t xml:space="preserve">ed ha predisposto  un </w:t>
      </w:r>
      <w:r>
        <w:rPr>
          <w:b/>
          <w:bCs/>
        </w:rPr>
        <w:t>canale di segnalazioni anonime</w:t>
      </w:r>
      <w:r>
        <w:t xml:space="preserve">; pertanto, chiunque può inviare eventuali comunicazioni inerenti il mancato rispetto delle tematiche di parità di genere, utilizzando il </w:t>
      </w:r>
      <w:r>
        <w:rPr>
          <w:color w:val="0070C0"/>
        </w:rPr>
        <w:t xml:space="preserve">seguente </w:t>
      </w:r>
      <w:r w:rsidR="00324C93">
        <w:rPr>
          <w:color w:val="0070C0"/>
        </w:rPr>
        <w:t xml:space="preserve">link </w:t>
      </w:r>
      <w:hyperlink r:id="rId7" w:history="1">
        <w:r w:rsidR="00324C93" w:rsidRPr="00324C93">
          <w:rPr>
            <w:color w:val="0000FF"/>
            <w:u w:val="single"/>
          </w:rPr>
          <w:t>Atlante Costruzioni</w:t>
        </w:r>
      </w:hyperlink>
    </w:p>
    <w:p w14:paraId="5F13A143" w14:textId="77777777" w:rsidR="00C16C30" w:rsidRPr="001B0048" w:rsidRDefault="00C16C30" w:rsidP="00C16C30"/>
    <w:p w14:paraId="74366AE2" w14:textId="39ACFE62" w:rsidR="002E708C" w:rsidRDefault="002E708C" w:rsidP="00C54819"/>
    <w:p w14:paraId="70FCE217" w14:textId="77777777" w:rsidR="003F1E49" w:rsidRPr="003F1E49" w:rsidRDefault="003F1E49" w:rsidP="003F1E49">
      <w:pPr>
        <w:spacing w:before="100" w:beforeAutospacing="1" w:after="100" w:afterAutospacing="1"/>
      </w:pPr>
      <w:r w:rsidRPr="003F1E49">
        <w:rPr>
          <w:rFonts w:ascii="Tw Cen MT" w:eastAsiaTheme="minorEastAsia" w:hAnsi="Tw Cen MT"/>
          <w:b/>
          <w:sz w:val="22"/>
        </w:rPr>
        <w:t>L’Azienda si impegna a riesaminare in modo continuativo le proprie attività e i propri servizi, con l’obiettivo di ridurre al minimo gli impatti generati, in un’ottica di miglioramento continuo.</w:t>
      </w:r>
      <w:r w:rsidRPr="003F1E49">
        <w:rPr>
          <w:rFonts w:ascii="Tw Cen MT" w:eastAsiaTheme="minorEastAsia" w:hAnsi="Tw Cen MT"/>
          <w:b/>
          <w:sz w:val="22"/>
        </w:rPr>
        <w:br/>
      </w:r>
      <w:r w:rsidRPr="003F1E49">
        <w:t>Tale approccio si fonda sull’analisi sistematica delle informazioni di ritorno, delle evidenze operative e delle raccomandazioni provenienti da tutte le parti interessate.</w:t>
      </w:r>
      <w:r w:rsidRPr="003F1E49">
        <w:br/>
        <w:t>L’azienda adotta, ove possibile, le migliori tecnologie disponibili e sostenibili dal punto di vista economico, al fine di garantire l’efficacia e l’efficienza dei propri processi.</w:t>
      </w:r>
    </w:p>
    <w:p w14:paraId="307A8B83" w14:textId="77777777" w:rsidR="003F1E49" w:rsidRPr="003F1E49" w:rsidRDefault="003F1E49" w:rsidP="003F1E49">
      <w:pPr>
        <w:spacing w:before="100" w:beforeAutospacing="1" w:after="100" w:afterAutospacing="1"/>
      </w:pPr>
      <w:r w:rsidRPr="003F1E49">
        <w:rPr>
          <w:rFonts w:ascii="Tw Cen MT" w:eastAsiaTheme="minorEastAsia" w:hAnsi="Tw Cen MT"/>
          <w:b/>
          <w:sz w:val="22"/>
        </w:rPr>
        <w:t>Gli Obiettivi, i Traguardi e i relativi Programmi di miglioramento sono definiti, monitorati e riesaminati regolarmente nell’ambito dei Riesami della Direzione</w:t>
      </w:r>
      <w:r w:rsidRPr="003F1E49">
        <w:rPr>
          <w:rFonts w:ascii="Times New Roman" w:eastAsia="Times New Roman" w:hAnsi="Times New Roman" w:cs="Times New Roman"/>
          <w:sz w:val="24"/>
          <w:szCs w:val="24"/>
          <w:lang w:eastAsia="it-IT"/>
        </w:rPr>
        <w:t xml:space="preserve">, </w:t>
      </w:r>
      <w:r w:rsidRPr="003F1E49">
        <w:t>quale momento strategico per la valutazione delle performance e l’individuazione di nuove azioni di sviluppo.</w:t>
      </w:r>
    </w:p>
    <w:p w14:paraId="28D2A43B" w14:textId="77777777" w:rsidR="00527094" w:rsidRPr="00765475" w:rsidRDefault="00527094" w:rsidP="00527094">
      <w:pPr>
        <w:pStyle w:val="NormaleWeb"/>
        <w:spacing w:before="0" w:beforeAutospacing="0" w:after="0" w:afterAutospacing="0" w:line="276" w:lineRule="auto"/>
        <w:jc w:val="both"/>
        <w:rPr>
          <w:rFonts w:ascii="Arial" w:hAnsi="Arial" w:cs="Arial"/>
          <w:color w:val="000000"/>
        </w:rPr>
      </w:pPr>
    </w:p>
    <w:p w14:paraId="684C89D4" w14:textId="5B50692C" w:rsidR="00527094" w:rsidRDefault="00527094" w:rsidP="00C54819">
      <w:pPr>
        <w:rPr>
          <w:color w:val="FF0000"/>
        </w:rPr>
      </w:pPr>
    </w:p>
    <w:p w14:paraId="50E43D1B" w14:textId="1C610960" w:rsidR="001B0048" w:rsidRDefault="001B0048" w:rsidP="001B0048">
      <w:r>
        <w:t>Firma Rappresentante Legale</w:t>
      </w:r>
    </w:p>
    <w:p w14:paraId="36DFB10D" w14:textId="3E98010F" w:rsidR="00527094" w:rsidRDefault="00527094" w:rsidP="00C54819">
      <w:pPr>
        <w:rPr>
          <w:color w:val="FF0000"/>
        </w:rPr>
      </w:pPr>
    </w:p>
    <w:sectPr w:rsidR="00527094">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C4F6A" w14:textId="77777777" w:rsidR="00733291" w:rsidRDefault="00733291" w:rsidP="00220388">
      <w:r>
        <w:separator/>
      </w:r>
    </w:p>
  </w:endnote>
  <w:endnote w:type="continuationSeparator" w:id="0">
    <w:p w14:paraId="4DE7622C" w14:textId="77777777" w:rsidR="00733291" w:rsidRDefault="00733291" w:rsidP="0022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5FB50" w14:textId="77777777" w:rsidR="00733291" w:rsidRDefault="00733291" w:rsidP="00220388">
      <w:r>
        <w:separator/>
      </w:r>
    </w:p>
  </w:footnote>
  <w:footnote w:type="continuationSeparator" w:id="0">
    <w:p w14:paraId="33F6EA7E" w14:textId="77777777" w:rsidR="00733291" w:rsidRDefault="00733291" w:rsidP="00220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gliatabella"/>
      <w:tblW w:w="0" w:type="auto"/>
      <w:tblLook w:val="04A0" w:firstRow="1" w:lastRow="0" w:firstColumn="1" w:lastColumn="0" w:noHBand="0" w:noVBand="1"/>
    </w:tblPr>
    <w:tblGrid>
      <w:gridCol w:w="4814"/>
      <w:gridCol w:w="4814"/>
    </w:tblGrid>
    <w:tr w:rsidR="00220388" w14:paraId="114C35C4" w14:textId="77777777" w:rsidTr="00881216">
      <w:tc>
        <w:tcPr>
          <w:tcW w:w="4814" w:type="dxa"/>
        </w:tcPr>
        <w:p w14:paraId="3A3F0D4E" w14:textId="49C7F7DC" w:rsidR="00220388" w:rsidRDefault="00324C93" w:rsidP="00C70666">
          <w:r>
            <w:rPr>
              <w:noProof/>
            </w:rPr>
            <w:drawing>
              <wp:inline distT="0" distB="0" distL="0" distR="0" wp14:anchorId="177C8F29" wp14:editId="208CE260">
                <wp:extent cx="1558925" cy="456565"/>
                <wp:effectExtent l="0" t="0" r="3175" b="635"/>
                <wp:docPr id="14" name="Immagine 13">
                  <a:extLst xmlns:a="http://schemas.openxmlformats.org/drawingml/2006/main">
                    <a:ext uri="{FF2B5EF4-FFF2-40B4-BE49-F238E27FC236}">
                      <a16:creationId xmlns:a16="http://schemas.microsoft.com/office/drawing/2014/main" id="{D1198FC6-B775-490A-8C0E-516D72DA0817}"/>
                    </a:ext>
                  </a:extLst>
                </wp:docPr>
                <wp:cNvGraphicFramePr/>
                <a:graphic xmlns:a="http://schemas.openxmlformats.org/drawingml/2006/main">
                  <a:graphicData uri="http://schemas.openxmlformats.org/drawingml/2006/picture">
                    <pic:pic xmlns:pic="http://schemas.openxmlformats.org/drawingml/2006/picture">
                      <pic:nvPicPr>
                        <pic:cNvPr id="14" name="Immagine 13">
                          <a:extLst>
                            <a:ext uri="{FF2B5EF4-FFF2-40B4-BE49-F238E27FC236}">
                              <a16:creationId xmlns:a16="http://schemas.microsoft.com/office/drawing/2014/main" id="{D1198FC6-B775-490A-8C0E-516D72DA0817}"/>
                            </a:ext>
                          </a:extLst>
                        </pic:cNvPr>
                        <pic:cNvPicPr/>
                      </pic:nvPicPr>
                      <pic:blipFill>
                        <a:blip r:embed="rId1"/>
                        <a:stretch>
                          <a:fillRect/>
                        </a:stretch>
                      </pic:blipFill>
                      <pic:spPr>
                        <a:xfrm>
                          <a:off x="0" y="0"/>
                          <a:ext cx="1558925" cy="456565"/>
                        </a:xfrm>
                        <a:prstGeom prst="rect">
                          <a:avLst/>
                        </a:prstGeom>
                      </pic:spPr>
                    </pic:pic>
                  </a:graphicData>
                </a:graphic>
              </wp:inline>
            </w:drawing>
          </w:r>
        </w:p>
      </w:tc>
      <w:tc>
        <w:tcPr>
          <w:tcW w:w="4814" w:type="dxa"/>
          <w:vAlign w:val="center"/>
        </w:tcPr>
        <w:p w14:paraId="1FEE3AA3" w14:textId="4C01A548" w:rsidR="00220388" w:rsidRDefault="002E708C" w:rsidP="00881216">
          <w:pPr>
            <w:pStyle w:val="Intestazione"/>
            <w:jc w:val="center"/>
          </w:pPr>
          <w:r>
            <w:t>Politica – Parità di Genere</w:t>
          </w:r>
        </w:p>
      </w:tc>
    </w:tr>
    <w:tr w:rsidR="00220388" w14:paraId="4F60595F" w14:textId="77777777" w:rsidTr="00220388">
      <w:tc>
        <w:tcPr>
          <w:tcW w:w="4814" w:type="dxa"/>
        </w:tcPr>
        <w:p w14:paraId="33B75CAC" w14:textId="4D842476" w:rsidR="00220388" w:rsidRDefault="00220388">
          <w:pPr>
            <w:pStyle w:val="Intestazione"/>
          </w:pPr>
        </w:p>
      </w:tc>
      <w:tc>
        <w:tcPr>
          <w:tcW w:w="4814" w:type="dxa"/>
        </w:tcPr>
        <w:p w14:paraId="1C6AFC5E" w14:textId="19CAE8E3" w:rsidR="00220388" w:rsidRDefault="00575FF6" w:rsidP="002E708C">
          <w:pPr>
            <w:pStyle w:val="Intestazione"/>
            <w:jc w:val="right"/>
          </w:pPr>
          <w:proofErr w:type="spellStart"/>
          <w:r>
            <w:t>Mod</w:t>
          </w:r>
          <w:proofErr w:type="spellEnd"/>
          <w:r>
            <w:t xml:space="preserve">. 6.1   </w:t>
          </w:r>
          <w:r w:rsidR="00765475" w:rsidRPr="008054F7">
            <w:t>Rv.</w:t>
          </w:r>
          <w:r w:rsidR="00E60D39">
            <w:t>1</w:t>
          </w:r>
          <w:r w:rsidR="00765475" w:rsidRPr="008054F7">
            <w:t xml:space="preserve"> del </w:t>
          </w:r>
          <w:r w:rsidR="00765475">
            <w:t>0</w:t>
          </w:r>
          <w:r w:rsidR="00E60D39">
            <w:t>3/01/2025</w:t>
          </w:r>
        </w:p>
      </w:tc>
    </w:tr>
  </w:tbl>
  <w:p w14:paraId="65F11DE0" w14:textId="77777777" w:rsidR="00220388" w:rsidRDefault="0022038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B02496"/>
    <w:multiLevelType w:val="hybridMultilevel"/>
    <w:tmpl w:val="C2E4518C"/>
    <w:lvl w:ilvl="0" w:tplc="91980E2A">
      <w:start w:val="1"/>
      <w:numFmt w:val="bullet"/>
      <w:lvlText w:val=""/>
      <w:lvlJc w:val="left"/>
      <w:pPr>
        <w:ind w:left="720" w:hanging="360"/>
      </w:pPr>
      <w:rPr>
        <w:rFonts w:ascii="Symbol" w:hAnsi="Symbol" w:hint="default"/>
      </w:rPr>
    </w:lvl>
    <w:lvl w:ilvl="1" w:tplc="91980E2A">
      <w:start w:val="1"/>
      <w:numFmt w:val="bullet"/>
      <w:lvlText w:val=""/>
      <w:lvlJc w:val="left"/>
      <w:pPr>
        <w:ind w:left="1495"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EA"/>
    <w:rsid w:val="000B67C6"/>
    <w:rsid w:val="001045BF"/>
    <w:rsid w:val="001228EA"/>
    <w:rsid w:val="001B0048"/>
    <w:rsid w:val="001B068C"/>
    <w:rsid w:val="001F3F48"/>
    <w:rsid w:val="00212FA1"/>
    <w:rsid w:val="00220388"/>
    <w:rsid w:val="002459F3"/>
    <w:rsid w:val="00294A67"/>
    <w:rsid w:val="002E708C"/>
    <w:rsid w:val="00317AB6"/>
    <w:rsid w:val="00324C93"/>
    <w:rsid w:val="00330BA5"/>
    <w:rsid w:val="003572E1"/>
    <w:rsid w:val="003F1E49"/>
    <w:rsid w:val="003F44DF"/>
    <w:rsid w:val="00457375"/>
    <w:rsid w:val="00472C59"/>
    <w:rsid w:val="00485422"/>
    <w:rsid w:val="004C43C7"/>
    <w:rsid w:val="00527094"/>
    <w:rsid w:val="00550ED0"/>
    <w:rsid w:val="00553B67"/>
    <w:rsid w:val="00563B1C"/>
    <w:rsid w:val="00575EE3"/>
    <w:rsid w:val="00575FF6"/>
    <w:rsid w:val="005E4D58"/>
    <w:rsid w:val="006366FE"/>
    <w:rsid w:val="00636896"/>
    <w:rsid w:val="00642D47"/>
    <w:rsid w:val="006A5AB7"/>
    <w:rsid w:val="006B5875"/>
    <w:rsid w:val="006B7C54"/>
    <w:rsid w:val="006C667E"/>
    <w:rsid w:val="006D3F98"/>
    <w:rsid w:val="007053B5"/>
    <w:rsid w:val="00707318"/>
    <w:rsid w:val="00714C56"/>
    <w:rsid w:val="00733291"/>
    <w:rsid w:val="00765475"/>
    <w:rsid w:val="0078318D"/>
    <w:rsid w:val="00790F30"/>
    <w:rsid w:val="007E760B"/>
    <w:rsid w:val="007F3BC8"/>
    <w:rsid w:val="008103FD"/>
    <w:rsid w:val="00825984"/>
    <w:rsid w:val="00877339"/>
    <w:rsid w:val="00881216"/>
    <w:rsid w:val="00893F43"/>
    <w:rsid w:val="008A6ADC"/>
    <w:rsid w:val="00914914"/>
    <w:rsid w:val="00916F36"/>
    <w:rsid w:val="00967794"/>
    <w:rsid w:val="00991EB9"/>
    <w:rsid w:val="009D41D3"/>
    <w:rsid w:val="00A04BAD"/>
    <w:rsid w:val="00A90D1C"/>
    <w:rsid w:val="00AB608E"/>
    <w:rsid w:val="00AD052A"/>
    <w:rsid w:val="00B02D47"/>
    <w:rsid w:val="00B27601"/>
    <w:rsid w:val="00C02384"/>
    <w:rsid w:val="00C16C30"/>
    <w:rsid w:val="00C17268"/>
    <w:rsid w:val="00C3186D"/>
    <w:rsid w:val="00C40BB0"/>
    <w:rsid w:val="00C54819"/>
    <w:rsid w:val="00C564D9"/>
    <w:rsid w:val="00C62C82"/>
    <w:rsid w:val="00C70666"/>
    <w:rsid w:val="00C9053C"/>
    <w:rsid w:val="00CA1829"/>
    <w:rsid w:val="00CD0EC0"/>
    <w:rsid w:val="00D363FE"/>
    <w:rsid w:val="00D37429"/>
    <w:rsid w:val="00D40B37"/>
    <w:rsid w:val="00E60D39"/>
    <w:rsid w:val="00E677AB"/>
    <w:rsid w:val="00EB1DD6"/>
    <w:rsid w:val="00EB59C4"/>
    <w:rsid w:val="00EB7BC4"/>
    <w:rsid w:val="00EC22E3"/>
    <w:rsid w:val="00F6020C"/>
    <w:rsid w:val="00F65C4A"/>
    <w:rsid w:val="00F92C27"/>
    <w:rsid w:val="00F936DA"/>
    <w:rsid w:val="00FE6FCC"/>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AD74A"/>
  <w15:chartTrackingRefBased/>
  <w15:docId w15:val="{2A4A7127-5621-4783-B554-9F8C07F5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6C30"/>
    <w:pPr>
      <w:spacing w:after="0" w:line="240"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GcertiItalySrl">
    <w:name w:val="Gcerti Italy S.r.l."/>
    <w:basedOn w:val="Carpredefinitoparagrafo"/>
    <w:rsid w:val="003572E1"/>
    <w:rPr>
      <w:rFonts w:ascii="Calibri" w:hAnsi="Calibri"/>
      <w:sz w:val="20"/>
      <w:lang w:val="it-IT"/>
    </w:rPr>
  </w:style>
  <w:style w:type="character" w:customStyle="1" w:styleId="Stile3">
    <w:name w:val="Stile3"/>
    <w:basedOn w:val="Carpredefinitoparagrafo"/>
    <w:uiPriority w:val="1"/>
    <w:qFormat/>
    <w:rsid w:val="00D40B37"/>
    <w:rPr>
      <w:rFonts w:asciiTheme="minorHAnsi" w:hAnsiTheme="minorHAnsi"/>
      <w:sz w:val="20"/>
    </w:rPr>
  </w:style>
  <w:style w:type="paragraph" w:customStyle="1" w:styleId="Gcerti">
    <w:name w:val="Gcerti"/>
    <w:basedOn w:val="Normale"/>
    <w:link w:val="GcertiCarattere"/>
    <w:autoRedefine/>
    <w:qFormat/>
    <w:rsid w:val="00F936DA"/>
    <w:pPr>
      <w:jc w:val="both"/>
    </w:pPr>
    <w:rPr>
      <w:rFonts w:eastAsia="Times New Roman" w:cstheme="minorHAnsi"/>
      <w:szCs w:val="20"/>
    </w:rPr>
  </w:style>
  <w:style w:type="character" w:customStyle="1" w:styleId="GcertiCarattere">
    <w:name w:val="Gcerti Carattere"/>
    <w:basedOn w:val="Carpredefinitoparagrafo"/>
    <w:link w:val="Gcerti"/>
    <w:rsid w:val="00F936DA"/>
    <w:rPr>
      <w:rFonts w:eastAsia="Times New Roman" w:cstheme="minorHAnsi"/>
      <w:sz w:val="20"/>
      <w:szCs w:val="20"/>
    </w:rPr>
  </w:style>
  <w:style w:type="character" w:customStyle="1" w:styleId="Stile5">
    <w:name w:val="Stile5"/>
    <w:basedOn w:val="GcertiCarattere"/>
    <w:uiPriority w:val="1"/>
    <w:qFormat/>
    <w:rsid w:val="00D40B37"/>
    <w:rPr>
      <w:rFonts w:asciiTheme="minorHAnsi" w:eastAsia="Times New Roman" w:hAnsiTheme="minorHAnsi" w:cstheme="minorHAnsi"/>
      <w:sz w:val="20"/>
      <w:szCs w:val="24"/>
      <w:lang w:val="it-IT" w:eastAsia="en-US" w:bidi="en-US"/>
    </w:rPr>
  </w:style>
  <w:style w:type="paragraph" w:styleId="Intestazione">
    <w:name w:val="header"/>
    <w:basedOn w:val="Normale"/>
    <w:link w:val="IntestazioneCarattere"/>
    <w:uiPriority w:val="99"/>
    <w:unhideWhenUsed/>
    <w:rsid w:val="00220388"/>
    <w:pPr>
      <w:tabs>
        <w:tab w:val="center" w:pos="4819"/>
        <w:tab w:val="right" w:pos="9638"/>
      </w:tabs>
    </w:pPr>
  </w:style>
  <w:style w:type="character" w:customStyle="1" w:styleId="IntestazioneCarattere">
    <w:name w:val="Intestazione Carattere"/>
    <w:basedOn w:val="Carpredefinitoparagrafo"/>
    <w:link w:val="Intestazione"/>
    <w:uiPriority w:val="99"/>
    <w:rsid w:val="00220388"/>
  </w:style>
  <w:style w:type="paragraph" w:styleId="Pidipagina">
    <w:name w:val="footer"/>
    <w:basedOn w:val="Normale"/>
    <w:link w:val="PidipaginaCarattere"/>
    <w:uiPriority w:val="99"/>
    <w:unhideWhenUsed/>
    <w:rsid w:val="00220388"/>
    <w:pPr>
      <w:tabs>
        <w:tab w:val="center" w:pos="4819"/>
        <w:tab w:val="right" w:pos="9638"/>
      </w:tabs>
    </w:pPr>
  </w:style>
  <w:style w:type="character" w:customStyle="1" w:styleId="PidipaginaCarattere">
    <w:name w:val="Piè di pagina Carattere"/>
    <w:basedOn w:val="Carpredefinitoparagrafo"/>
    <w:link w:val="Pidipagina"/>
    <w:uiPriority w:val="99"/>
    <w:rsid w:val="00220388"/>
  </w:style>
  <w:style w:type="table" w:styleId="Grigliatabella">
    <w:name w:val="Table Grid"/>
    <w:basedOn w:val="Tabellanormale"/>
    <w:uiPriority w:val="59"/>
    <w:rsid w:val="00220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8A6ADC"/>
    <w:rPr>
      <w:color w:val="0563C1" w:themeColor="hyperlink"/>
      <w:u w:val="single"/>
    </w:rPr>
  </w:style>
  <w:style w:type="character" w:styleId="Menzionenonrisolta">
    <w:name w:val="Unresolved Mention"/>
    <w:basedOn w:val="Carpredefinitoparagrafo"/>
    <w:uiPriority w:val="99"/>
    <w:semiHidden/>
    <w:unhideWhenUsed/>
    <w:rsid w:val="008A6ADC"/>
    <w:rPr>
      <w:color w:val="605E5C"/>
      <w:shd w:val="clear" w:color="auto" w:fill="E1DFDD"/>
    </w:rPr>
  </w:style>
  <w:style w:type="paragraph" w:customStyle="1" w:styleId="Default">
    <w:name w:val="Default"/>
    <w:rsid w:val="00472C59"/>
    <w:pPr>
      <w:autoSpaceDE w:val="0"/>
      <w:autoSpaceDN w:val="0"/>
      <w:adjustRightInd w:val="0"/>
      <w:spacing w:after="0" w:line="240" w:lineRule="auto"/>
    </w:pPr>
    <w:rPr>
      <w:rFonts w:ascii="Arial" w:hAnsi="Arial" w:cs="Arial"/>
      <w:color w:val="000000"/>
      <w:sz w:val="24"/>
      <w:szCs w:val="24"/>
    </w:rPr>
  </w:style>
  <w:style w:type="paragraph" w:styleId="NormaleWeb">
    <w:name w:val="Normal (Web)"/>
    <w:basedOn w:val="Normale"/>
    <w:uiPriority w:val="99"/>
    <w:semiHidden/>
    <w:unhideWhenUsed/>
    <w:rsid w:val="00527094"/>
    <w:pPr>
      <w:spacing w:before="100" w:beforeAutospacing="1" w:after="100" w:afterAutospacing="1"/>
    </w:pPr>
    <w:rPr>
      <w:rFonts w:cs="Calibri"/>
      <w:sz w:val="22"/>
      <w:lang w:eastAsia="it-IT"/>
    </w:rPr>
  </w:style>
  <w:style w:type="paragraph" w:styleId="Corpotesto">
    <w:name w:val="Body Text"/>
    <w:basedOn w:val="Normale"/>
    <w:link w:val="CorpotestoCarattere"/>
    <w:uiPriority w:val="1"/>
    <w:qFormat/>
    <w:rsid w:val="00D363FE"/>
    <w:pPr>
      <w:widowControl w:val="0"/>
      <w:ind w:left="833" w:hanging="360"/>
    </w:pPr>
    <w:rPr>
      <w:rFonts w:ascii="Tw Cen MT" w:eastAsia="Tw Cen MT" w:hAnsi="Tw Cen MT"/>
      <w:sz w:val="24"/>
      <w:szCs w:val="24"/>
      <w:lang w:val="en-US"/>
    </w:rPr>
  </w:style>
  <w:style w:type="character" w:customStyle="1" w:styleId="CorpotestoCarattere">
    <w:name w:val="Corpo testo Carattere"/>
    <w:basedOn w:val="Carpredefinitoparagrafo"/>
    <w:link w:val="Corpotesto"/>
    <w:uiPriority w:val="1"/>
    <w:rsid w:val="00D363FE"/>
    <w:rPr>
      <w:rFonts w:ascii="Tw Cen MT" w:eastAsia="Tw Cen MT" w:hAnsi="Tw Cen MT"/>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70528">
      <w:bodyDiv w:val="1"/>
      <w:marLeft w:val="0"/>
      <w:marRight w:val="0"/>
      <w:marTop w:val="0"/>
      <w:marBottom w:val="0"/>
      <w:divBdr>
        <w:top w:val="none" w:sz="0" w:space="0" w:color="auto"/>
        <w:left w:val="none" w:sz="0" w:space="0" w:color="auto"/>
        <w:bottom w:val="none" w:sz="0" w:space="0" w:color="auto"/>
        <w:right w:val="none" w:sz="0" w:space="0" w:color="auto"/>
      </w:divBdr>
    </w:div>
    <w:div w:id="277610914">
      <w:bodyDiv w:val="1"/>
      <w:marLeft w:val="0"/>
      <w:marRight w:val="0"/>
      <w:marTop w:val="0"/>
      <w:marBottom w:val="0"/>
      <w:divBdr>
        <w:top w:val="none" w:sz="0" w:space="0" w:color="auto"/>
        <w:left w:val="none" w:sz="0" w:space="0" w:color="auto"/>
        <w:bottom w:val="none" w:sz="0" w:space="0" w:color="auto"/>
        <w:right w:val="none" w:sz="0" w:space="0" w:color="auto"/>
      </w:divBdr>
    </w:div>
    <w:div w:id="1200125551">
      <w:bodyDiv w:val="1"/>
      <w:marLeft w:val="0"/>
      <w:marRight w:val="0"/>
      <w:marTop w:val="0"/>
      <w:marBottom w:val="0"/>
      <w:divBdr>
        <w:top w:val="none" w:sz="0" w:space="0" w:color="auto"/>
        <w:left w:val="none" w:sz="0" w:space="0" w:color="auto"/>
        <w:bottom w:val="none" w:sz="0" w:space="0" w:color="auto"/>
        <w:right w:val="none" w:sz="0" w:space="0" w:color="auto"/>
      </w:divBdr>
    </w:div>
    <w:div w:id="1935162034">
      <w:bodyDiv w:val="1"/>
      <w:marLeft w:val="0"/>
      <w:marRight w:val="0"/>
      <w:marTop w:val="0"/>
      <w:marBottom w:val="0"/>
      <w:divBdr>
        <w:top w:val="none" w:sz="0" w:space="0" w:color="auto"/>
        <w:left w:val="none" w:sz="0" w:space="0" w:color="auto"/>
        <w:bottom w:val="none" w:sz="0" w:space="0" w:color="auto"/>
        <w:right w:val="none" w:sz="0" w:space="0" w:color="auto"/>
      </w:divBdr>
    </w:div>
    <w:div w:id="197521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tlantecostruzion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3</Pages>
  <Words>1200</Words>
  <Characters>6840</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Francesco</cp:lastModifiedBy>
  <cp:revision>44</cp:revision>
  <dcterms:created xsi:type="dcterms:W3CDTF">2022-07-25T12:14:00Z</dcterms:created>
  <dcterms:modified xsi:type="dcterms:W3CDTF">2026-01-14T16:54:00Z</dcterms:modified>
</cp:coreProperties>
</file>